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9A" w:rsidRDefault="00DF7E9A" w:rsidP="00DF7E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DF7E9A" w:rsidRDefault="00DF7E9A" w:rsidP="00DF7E9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山东财经大学行政事业单位内部控制实务培训班</w:t>
      </w:r>
    </w:p>
    <w:p w:rsidR="00DF7E9A" w:rsidRDefault="00DF7E9A" w:rsidP="00DF7E9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报名回执</w:t>
      </w:r>
    </w:p>
    <w:tbl>
      <w:tblPr>
        <w:tblW w:w="9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3"/>
        <w:gridCol w:w="962"/>
        <w:gridCol w:w="1527"/>
        <w:gridCol w:w="1843"/>
        <w:gridCol w:w="3416"/>
      </w:tblGrid>
      <w:tr w:rsidR="00DF7E9A" w:rsidTr="00CE445B">
        <w:trPr>
          <w:trHeight w:val="644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9A" w:rsidRDefault="00DF7E9A" w:rsidP="00CE445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7E9A" w:rsidTr="00CE445B">
        <w:trPr>
          <w:trHeight w:val="644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9A" w:rsidRDefault="00DF7E9A" w:rsidP="00CE445B">
            <w:pPr>
              <w:spacing w:line="320" w:lineRule="exact"/>
              <w:jc w:val="center"/>
              <w:rPr>
                <w:rFonts w:ascii="仿宋_GB2312" w:eastAsia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2"/>
                <w:sz w:val="28"/>
                <w:szCs w:val="28"/>
              </w:rPr>
              <w:t>联系人姓名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E9A" w:rsidRDefault="00DF7E9A" w:rsidP="00CE445B">
            <w:pPr>
              <w:spacing w:line="560" w:lineRule="exact"/>
              <w:rPr>
                <w:rFonts w:ascii="仿宋_GB2312" w:eastAsia="仿宋_GB2312"/>
                <w:spacing w:val="-3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2"/>
                <w:sz w:val="28"/>
                <w:szCs w:val="28"/>
              </w:rPr>
              <w:t>手机/电子邮箱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7E9A" w:rsidTr="00CE445B">
        <w:trPr>
          <w:trHeight w:val="644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9A" w:rsidRDefault="00DF7E9A" w:rsidP="00CE445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学员姓名</w:t>
            </w:r>
          </w:p>
          <w:p w:rsidR="00DF7E9A" w:rsidRDefault="00DF7E9A" w:rsidP="00CE445B">
            <w:pPr>
              <w:spacing w:line="320" w:lineRule="exact"/>
              <w:jc w:val="center"/>
              <w:rPr>
                <w:rFonts w:ascii="仿宋_GB2312" w:eastAsia="仿宋_GB2312"/>
                <w:spacing w:val="-40"/>
              </w:rPr>
            </w:pPr>
            <w:r>
              <w:rPr>
                <w:rFonts w:ascii="仿宋_GB2312" w:eastAsia="仿宋_GB2312" w:hint="eastAsia"/>
                <w:spacing w:val="-40"/>
              </w:rPr>
              <w:t>（</w:t>
            </w:r>
            <w:r>
              <w:rPr>
                <w:rFonts w:ascii="仿宋_GB2312" w:eastAsia="仿宋_GB2312" w:hint="eastAsia"/>
                <w:spacing w:val="-32"/>
              </w:rPr>
              <w:t>正楷填写）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职称/职务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E9A" w:rsidRDefault="00DF7E9A" w:rsidP="00CE445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住宿标准</w:t>
            </w:r>
          </w:p>
          <w:p w:rsidR="00DF7E9A" w:rsidRDefault="00DF7E9A" w:rsidP="00CE445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双人标间/单间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DF7E9A" w:rsidTr="00CE445B">
        <w:trPr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7E9A" w:rsidRDefault="00DF7E9A" w:rsidP="00CE445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F7E9A" w:rsidRDefault="00DF7E9A" w:rsidP="00CE445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F7E9A" w:rsidRDefault="00DF7E9A" w:rsidP="00CE445B">
            <w:pPr>
              <w:spacing w:line="440" w:lineRule="exact"/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E9A" w:rsidRDefault="00DF7E9A" w:rsidP="00CE445B">
            <w:pPr>
              <w:spacing w:line="440" w:lineRule="exact"/>
              <w:ind w:left="540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E9A" w:rsidRDefault="00DF7E9A" w:rsidP="00CE445B">
            <w:pPr>
              <w:spacing w:line="440" w:lineRule="exact"/>
              <w:ind w:left="4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座机：</w:t>
            </w:r>
          </w:p>
          <w:p w:rsidR="00DF7E9A" w:rsidRDefault="00DF7E9A" w:rsidP="00CE445B">
            <w:pPr>
              <w:spacing w:line="440" w:lineRule="exact"/>
              <w:ind w:left="4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手机：</w:t>
            </w:r>
          </w:p>
          <w:p w:rsidR="00DF7E9A" w:rsidRDefault="00DF7E9A" w:rsidP="00CE445B">
            <w:pPr>
              <w:spacing w:line="440" w:lineRule="exact"/>
              <w:ind w:left="4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Email：</w:t>
            </w:r>
          </w:p>
        </w:tc>
      </w:tr>
      <w:tr w:rsidR="00DF7E9A" w:rsidTr="00CE445B">
        <w:trPr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7E9A" w:rsidRDefault="00DF7E9A" w:rsidP="00CE445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F7E9A" w:rsidRDefault="00DF7E9A" w:rsidP="00CE445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F7E9A" w:rsidRDefault="00DF7E9A" w:rsidP="00CE445B">
            <w:pPr>
              <w:spacing w:line="440" w:lineRule="exact"/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E9A" w:rsidRDefault="00DF7E9A" w:rsidP="00CE445B">
            <w:pPr>
              <w:spacing w:line="440" w:lineRule="exact"/>
              <w:ind w:left="557"/>
              <w:rPr>
                <w:rFonts w:ascii="仿宋_GB2312" w:eastAsia="仿宋_GB2312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E9A" w:rsidRDefault="00DF7E9A" w:rsidP="00CE445B">
            <w:pPr>
              <w:spacing w:line="440" w:lineRule="exact"/>
              <w:ind w:left="4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座机：</w:t>
            </w:r>
          </w:p>
          <w:p w:rsidR="00DF7E9A" w:rsidRDefault="00DF7E9A" w:rsidP="00CE445B">
            <w:pPr>
              <w:spacing w:line="440" w:lineRule="exact"/>
              <w:ind w:left="4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手机：</w:t>
            </w:r>
          </w:p>
          <w:p w:rsidR="00DF7E9A" w:rsidRDefault="00DF7E9A" w:rsidP="00CE445B">
            <w:pPr>
              <w:spacing w:line="440" w:lineRule="exact"/>
              <w:ind w:left="4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Email：</w:t>
            </w:r>
          </w:p>
        </w:tc>
      </w:tr>
      <w:tr w:rsidR="00DF7E9A" w:rsidTr="00CE445B">
        <w:trPr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7E9A" w:rsidRDefault="00DF7E9A" w:rsidP="00CE445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F7E9A" w:rsidRDefault="00DF7E9A" w:rsidP="00CE445B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F7E9A" w:rsidRDefault="00DF7E9A" w:rsidP="00CE445B">
            <w:pPr>
              <w:spacing w:line="440" w:lineRule="exact"/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7E9A" w:rsidRDefault="00DF7E9A" w:rsidP="00CE445B">
            <w:pPr>
              <w:spacing w:line="440" w:lineRule="exact"/>
              <w:ind w:left="557"/>
              <w:rPr>
                <w:rFonts w:ascii="仿宋_GB2312" w:eastAsia="仿宋_GB2312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E9A" w:rsidRDefault="00DF7E9A" w:rsidP="00CE445B">
            <w:pPr>
              <w:spacing w:line="440" w:lineRule="exact"/>
              <w:ind w:left="4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座机：</w:t>
            </w:r>
          </w:p>
          <w:p w:rsidR="00DF7E9A" w:rsidRDefault="00DF7E9A" w:rsidP="00CE445B">
            <w:pPr>
              <w:spacing w:line="440" w:lineRule="exact"/>
              <w:ind w:left="4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手机：</w:t>
            </w:r>
          </w:p>
          <w:p w:rsidR="00DF7E9A" w:rsidRDefault="00DF7E9A" w:rsidP="00CE445B"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Email：</w:t>
            </w:r>
          </w:p>
        </w:tc>
      </w:tr>
      <w:tr w:rsidR="00DF7E9A" w:rsidTr="00CE445B">
        <w:trPr>
          <w:trHeight w:val="3078"/>
          <w:jc w:val="center"/>
        </w:trPr>
        <w:tc>
          <w:tcPr>
            <w:tcW w:w="4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E9A" w:rsidRDefault="00DF7E9A" w:rsidP="00CE445B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需要授课老师解答的问题：</w:t>
            </w:r>
          </w:p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E9A" w:rsidRDefault="00DF7E9A" w:rsidP="00CE445B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</w:t>
            </w:r>
          </w:p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  <w:p w:rsidR="00DF7E9A" w:rsidRDefault="00DF7E9A" w:rsidP="00CE445B">
            <w:pPr>
              <w:rPr>
                <w:rFonts w:ascii="仿宋_GB2312" w:eastAsia="仿宋_GB2312"/>
              </w:rPr>
            </w:pPr>
          </w:p>
          <w:p w:rsidR="00DF7E9A" w:rsidRDefault="00DF7E9A" w:rsidP="00CE445B">
            <w:pPr>
              <w:rPr>
                <w:rFonts w:ascii="仿宋_GB2312" w:eastAsia="仿宋_GB2312"/>
              </w:rPr>
            </w:pPr>
          </w:p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  <w:p w:rsidR="00DF7E9A" w:rsidRDefault="00DF7E9A" w:rsidP="00CE445B">
            <w:pPr>
              <w:rPr>
                <w:rFonts w:ascii="仿宋_GB2312" w:eastAsia="仿宋_GB2312"/>
              </w:rPr>
            </w:pPr>
          </w:p>
          <w:p w:rsidR="00DF7E9A" w:rsidRDefault="00DF7E9A" w:rsidP="00CE445B">
            <w:pPr>
              <w:rPr>
                <w:rFonts w:ascii="仿宋_GB2312" w:eastAsia="仿宋_GB2312"/>
              </w:rPr>
            </w:pPr>
          </w:p>
          <w:p w:rsidR="00DF7E9A" w:rsidRDefault="00DF7E9A" w:rsidP="00CE445B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DF7E9A" w:rsidRDefault="00DF7E9A" w:rsidP="00DF7E9A">
      <w:pPr>
        <w:rPr>
          <w:rFonts w:ascii="仿宋_GB2312" w:eastAsia="仿宋_GB2312"/>
        </w:rPr>
      </w:pPr>
      <w:r>
        <w:rPr>
          <w:rFonts w:ascii="仿宋_GB2312" w:eastAsia="仿宋_GB2312" w:hint="eastAsia"/>
          <w:sz w:val="28"/>
          <w:szCs w:val="28"/>
        </w:rPr>
        <w:t>注：(1)座机、手机、Email用正楷填写，以避免我们无法通知到您。</w:t>
      </w:r>
    </w:p>
    <w:p w:rsidR="00DF7E9A" w:rsidRDefault="00DF7E9A" w:rsidP="00DF7E9A">
      <w:pPr>
        <w:spacing w:line="360" w:lineRule="auto"/>
        <w:ind w:firstLineChars="200" w:firstLine="560"/>
        <w:rPr>
          <w:rFonts w:ascii="仿宋_GB2312" w:eastAsia="仿宋_GB2312"/>
        </w:rPr>
      </w:pPr>
      <w:r>
        <w:rPr>
          <w:rFonts w:ascii="仿宋_GB2312" w:eastAsia="仿宋_GB2312" w:hint="eastAsia"/>
          <w:sz w:val="28"/>
          <w:szCs w:val="28"/>
        </w:rPr>
        <w:t>(2)填好后，请将本回执发送scdpeixun</w:t>
      </w:r>
      <w:r>
        <w:rPr>
          <w:rFonts w:ascii="仿宋_GB2312" w:eastAsia="仿宋_GB2312"/>
          <w:sz w:val="28"/>
          <w:szCs w:val="28"/>
        </w:rPr>
        <w:t>＠1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6.com</w:t>
      </w:r>
      <w:r>
        <w:rPr>
          <w:rFonts w:ascii="仿宋_GB2312" w:eastAsia="仿宋_GB2312" w:hint="eastAsia"/>
          <w:sz w:val="28"/>
          <w:szCs w:val="28"/>
        </w:rPr>
        <w:t>，或传真至0531—82911999，额满为止。</w:t>
      </w:r>
    </w:p>
    <w:p w:rsidR="00DF7E9A" w:rsidRDefault="00DF7E9A" w:rsidP="00DF7E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 w:rsidR="00DF7E9A" w:rsidRDefault="00DF7E9A" w:rsidP="00DF7E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</w:p>
    <w:p w:rsidR="00DF7E9A" w:rsidRDefault="00DF7E9A" w:rsidP="00DF7E9A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培  训  内  容</w:t>
      </w:r>
    </w:p>
    <w:p w:rsidR="00DF7E9A" w:rsidRDefault="00DF7E9A" w:rsidP="00DF7E9A">
      <w:pPr>
        <w:numPr>
          <w:ilvl w:val="0"/>
          <w:numId w:val="1"/>
        </w:num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行政事业单位内控建设内容、思路和方法</w:t>
      </w:r>
    </w:p>
    <w:p w:rsidR="00DF7E9A" w:rsidRDefault="00DF7E9A" w:rsidP="00DF7E9A">
      <w:pPr>
        <w:autoSpaceDN w:val="0"/>
        <w:spacing w:line="60" w:lineRule="auto"/>
        <w:outlineLvl w:val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1.行政事业单位内部控制概述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2.行政事业单位内部控制体系建设基本思路和前期准备工作</w:t>
      </w:r>
    </w:p>
    <w:p w:rsidR="00DF7E9A" w:rsidRDefault="00DF7E9A" w:rsidP="00DF7E9A">
      <w:pPr>
        <w:tabs>
          <w:tab w:val="left" w:pos="420"/>
        </w:tabs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3.Visio流程图绘制软件的使用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4.《内控手册》的结构与内容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5.《制度汇编》涉及的主要制度介绍</w:t>
      </w:r>
    </w:p>
    <w:p w:rsidR="00DF7E9A" w:rsidRDefault="00DF7E9A" w:rsidP="00DF7E9A">
      <w:pPr>
        <w:numPr>
          <w:ilvl w:val="0"/>
          <w:numId w:val="1"/>
        </w:num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单位层面内部控制设计</w:t>
      </w:r>
    </w:p>
    <w:p w:rsidR="00DF7E9A" w:rsidRDefault="00DF7E9A" w:rsidP="00DF7E9A">
      <w:pPr>
        <w:autoSpaceDN w:val="0"/>
        <w:spacing w:line="60" w:lineRule="auto"/>
        <w:outlineLvl w:val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1.组织架构设计：决策权、执行权和监督权的分配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2.重要制度：关键岗位责任制、专家论证制度、审核审批制度、集体决策制度、内部审计制度绩效考评制度、党委纪检和监察制度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3.控制方式设计：不相容岗位分离、内部授权审批制度、归口管理、预算控制、资产保护控制、会计控制、单据控制、信息公开、信息技术控制 </w:t>
      </w:r>
    </w:p>
    <w:p w:rsidR="00DF7E9A" w:rsidRDefault="00DF7E9A" w:rsidP="00DF7E9A">
      <w:pPr>
        <w:numPr>
          <w:ilvl w:val="0"/>
          <w:numId w:val="1"/>
        </w:num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预算管理流程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1.预算管理流程的具体内容详解，包含一上预算编制与批复子流程、二上预算编制与批复子流程、预算追加调整子流程、政府采购预算编制与批复子流程、预算执行申请子流程、决算与绩效考评子流程等6个子流程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2.预算管理流程的控制目标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3.预算管理流程的设计部门及岗位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4.预算管理流程的流程图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5.预算管理流程的关键流程节点说明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6.预算管理流程的风险矩阵</w:t>
      </w:r>
    </w:p>
    <w:p w:rsidR="00DF7E9A" w:rsidRDefault="00DF7E9A" w:rsidP="00DF7E9A">
      <w:pPr>
        <w:numPr>
          <w:ilvl w:val="0"/>
          <w:numId w:val="2"/>
        </w:num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政府采购管理流程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1.政府采购管理流程的具体内容解读，包括集中采购子流程、分散采购子流程2个子流程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2.政府采购管理流程的控制目标、涉及部门岗位、流程图、关键流程节点说明、风险矩阵</w:t>
      </w:r>
    </w:p>
    <w:p w:rsidR="00DF7E9A" w:rsidRDefault="00DF7E9A" w:rsidP="00DF7E9A">
      <w:pPr>
        <w:numPr>
          <w:ilvl w:val="0"/>
          <w:numId w:val="3"/>
        </w:num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固定资产管理流程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1.固定资产管理流程解读，包含固定资产购置子流程、固定资产验收子流程、固定资产领用子流程、固定资产清查子流程、固定资产处置子流程等5个子流程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2.固定资产管理流程的控制目标、涉及部门岗位、流程图、关键流程节点说明、风险矩阵说明</w:t>
      </w:r>
    </w:p>
    <w:p w:rsidR="00DF7E9A" w:rsidRDefault="00DF7E9A" w:rsidP="00DF7E9A">
      <w:pPr>
        <w:numPr>
          <w:ilvl w:val="0"/>
          <w:numId w:val="4"/>
        </w:num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收支管理流程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收支管理流程具体内容解读：包含财政拨款流程、经费支出审批总流程、资产日常维修审批子流程、印刷费支出审批子流程、日常办公用品审批子流程、差旅费子流程、公务接待审批子流程、会议费审批子流程、出国（境）经费审批子流程、专项资金管理流程等10个子流程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2.收支管理流程的控制目标、涉及部门岗位、流程图、关键流程节点说明、风险矩阵说明</w:t>
      </w:r>
    </w:p>
    <w:p w:rsidR="00DF7E9A" w:rsidRDefault="00DF7E9A" w:rsidP="00DF7E9A">
      <w:pPr>
        <w:numPr>
          <w:ilvl w:val="0"/>
          <w:numId w:val="4"/>
        </w:num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合同管理流程</w:t>
      </w:r>
    </w:p>
    <w:p w:rsidR="00DF7E9A" w:rsidRDefault="00DF7E9A" w:rsidP="00DF7E9A">
      <w:pPr>
        <w:autoSpaceDN w:val="0"/>
        <w:spacing w:line="60" w:lineRule="auto"/>
        <w:outlineLvl w:val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1.合同管理流程的具体内容解读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2.合同管理流程的控制目标、涉及部门岗位、流程图、关键流程节点说明、风险矩阵说明</w:t>
      </w:r>
    </w:p>
    <w:p w:rsidR="00DF7E9A" w:rsidRDefault="00DF7E9A" w:rsidP="00DF7E9A">
      <w:pPr>
        <w:numPr>
          <w:ilvl w:val="0"/>
          <w:numId w:val="5"/>
        </w:num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项目管理流程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1.项目管理流程内容解读，包含投资立项目建议书子流程、可行性研究子流程、初步设计与概算子流程、招标管理子流程、施工管理子流程、签证管理子流程、竣工验收子流程、财务决算子流程等8个子流程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2.项目管理流程的控制目标、涉及部门岗位、流程图、关键流程节点说明、风险矩阵说明</w:t>
      </w:r>
    </w:p>
    <w:p w:rsidR="00DF7E9A" w:rsidRDefault="00DF7E9A" w:rsidP="00DF7E9A">
      <w:pPr>
        <w:numPr>
          <w:ilvl w:val="0"/>
          <w:numId w:val="6"/>
        </w:num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内部控制评价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1.内部控制评价工作流程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2.内部控制穿行测试程序与方法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3.内部控制控制测试程序与方法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4内部控制评价报告的编写</w:t>
      </w:r>
    </w:p>
    <w:p w:rsidR="00DF7E9A" w:rsidRDefault="00DF7E9A" w:rsidP="00DF7E9A">
      <w:pPr>
        <w:numPr>
          <w:ilvl w:val="0"/>
          <w:numId w:val="6"/>
        </w:num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行政事业单位内部控制信息化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1.内部控制信息化的必要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2.内控信息化的主要内容</w:t>
      </w:r>
    </w:p>
    <w:p w:rsidR="00DF7E9A" w:rsidRDefault="00DF7E9A" w:rsidP="00DF7E9A">
      <w:pPr>
        <w:autoSpaceDN w:val="0"/>
        <w:spacing w:line="60" w:lineRule="auto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3.内部控制信息化的实施步骤</w:t>
      </w:r>
    </w:p>
    <w:p w:rsidR="00DF7E9A" w:rsidRDefault="00DF7E9A" w:rsidP="00DF7E9A">
      <w:pPr>
        <w:numPr>
          <w:ilvl w:val="0"/>
          <w:numId w:val="6"/>
        </w:numPr>
        <w:autoSpaceDN w:val="0"/>
        <w:spacing w:line="60" w:lineRule="auto"/>
        <w:rPr>
          <w:sz w:val="28"/>
          <w:szCs w:val="28"/>
        </w:rPr>
      </w:pPr>
      <w:r>
        <w:rPr>
          <w:rFonts w:ascii="仿宋_GB2312" w:eastAsia="仿宋_GB2312" w:hAnsi="宋体" w:hint="eastAsia"/>
          <w:sz w:val="30"/>
          <w:szCs w:val="30"/>
        </w:rPr>
        <w:t>行政事业单位内控先进单位介绍</w:t>
      </w:r>
    </w:p>
    <w:p w:rsidR="00DF7E9A" w:rsidRDefault="00DF7E9A" w:rsidP="00DF7E9A"/>
    <w:p w:rsidR="00DF7E9A" w:rsidRDefault="00DF7E9A" w:rsidP="00DF7E9A"/>
    <w:p w:rsidR="00DF7E9A" w:rsidRDefault="00DF7E9A" w:rsidP="00DF7E9A">
      <w:pPr>
        <w:rPr>
          <w:sz w:val="28"/>
          <w:szCs w:val="28"/>
        </w:rPr>
        <w:sectPr w:rsidR="00DF7E9A">
          <w:footerReference w:type="default" r:id="rId7"/>
          <w:pgSz w:w="11906" w:h="16838"/>
          <w:pgMar w:top="1440" w:right="1349" w:bottom="1440" w:left="1800" w:header="851" w:footer="992" w:gutter="0"/>
          <w:cols w:space="720"/>
          <w:docGrid w:type="lines" w:linePitch="312"/>
        </w:sectPr>
      </w:pPr>
    </w:p>
    <w:p w:rsidR="00DF7E9A" w:rsidRDefault="00DF7E9A" w:rsidP="00DF7E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3</w:t>
      </w:r>
    </w:p>
    <w:p w:rsidR="00DF7E9A" w:rsidRDefault="00DF7E9A" w:rsidP="00DF7E9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课程安排</w:t>
      </w:r>
    </w:p>
    <w:p w:rsidR="00DF7E9A" w:rsidRDefault="00DF7E9A" w:rsidP="00DF7E9A">
      <w:pPr>
        <w:jc w:val="center"/>
        <w:rPr>
          <w:sz w:val="32"/>
          <w:szCs w:val="32"/>
        </w:rPr>
      </w:pPr>
    </w:p>
    <w:tbl>
      <w:tblPr>
        <w:tblStyle w:val="a5"/>
        <w:tblW w:w="8973" w:type="dxa"/>
        <w:jc w:val="center"/>
        <w:tblLayout w:type="fixed"/>
        <w:tblLook w:val="04A0"/>
      </w:tblPr>
      <w:tblGrid>
        <w:gridCol w:w="2991"/>
        <w:gridCol w:w="2991"/>
        <w:gridCol w:w="2991"/>
      </w:tblGrid>
      <w:tr w:rsidR="00DF7E9A" w:rsidTr="00CE445B">
        <w:trPr>
          <w:jc w:val="center"/>
        </w:trPr>
        <w:tc>
          <w:tcPr>
            <w:tcW w:w="2991" w:type="dxa"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991" w:type="dxa"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991" w:type="dxa"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主讲人</w:t>
            </w:r>
          </w:p>
        </w:tc>
      </w:tr>
      <w:tr w:rsidR="00DF7E9A" w:rsidTr="00CE445B">
        <w:trPr>
          <w:jc w:val="center"/>
        </w:trPr>
        <w:tc>
          <w:tcPr>
            <w:tcW w:w="2991" w:type="dxa"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26</w:t>
            </w:r>
            <w:r>
              <w:rPr>
                <w:rFonts w:hint="eastAsia"/>
                <w:sz w:val="28"/>
                <w:szCs w:val="28"/>
              </w:rPr>
              <w:t>日上午</w:t>
            </w:r>
          </w:p>
        </w:tc>
        <w:tc>
          <w:tcPr>
            <w:tcW w:w="2991" w:type="dxa"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内控的意义、方法、财政部门的要求</w:t>
            </w:r>
          </w:p>
        </w:tc>
        <w:tc>
          <w:tcPr>
            <w:tcW w:w="2991" w:type="dxa"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省高端会计人才、高级会计师、注册会计师</w:t>
            </w:r>
          </w:p>
        </w:tc>
      </w:tr>
      <w:tr w:rsidR="00DF7E9A" w:rsidTr="00CE445B">
        <w:trPr>
          <w:jc w:val="center"/>
        </w:trPr>
        <w:tc>
          <w:tcPr>
            <w:tcW w:w="2991" w:type="dxa"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26</w:t>
            </w:r>
            <w:r>
              <w:rPr>
                <w:rFonts w:hint="eastAsia"/>
                <w:sz w:val="28"/>
                <w:szCs w:val="28"/>
              </w:rPr>
              <w:t>日下午</w:t>
            </w:r>
          </w:p>
        </w:tc>
        <w:tc>
          <w:tcPr>
            <w:tcW w:w="2991" w:type="dxa"/>
            <w:vMerge w:val="restart"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预算、采购、合同、资产</w:t>
            </w:r>
          </w:p>
        </w:tc>
        <w:tc>
          <w:tcPr>
            <w:tcW w:w="2991" w:type="dxa"/>
            <w:vMerge w:val="restart"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李晋</w:t>
            </w:r>
          </w:p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山东财经大学会计学院副教授</w:t>
            </w:r>
          </w:p>
        </w:tc>
      </w:tr>
      <w:tr w:rsidR="00DF7E9A" w:rsidTr="00CE445B">
        <w:trPr>
          <w:jc w:val="center"/>
        </w:trPr>
        <w:tc>
          <w:tcPr>
            <w:tcW w:w="2991" w:type="dxa"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27</w:t>
            </w:r>
            <w:r>
              <w:rPr>
                <w:rFonts w:hint="eastAsia"/>
                <w:sz w:val="28"/>
                <w:szCs w:val="28"/>
              </w:rPr>
              <w:t>日上午</w:t>
            </w:r>
          </w:p>
        </w:tc>
        <w:tc>
          <w:tcPr>
            <w:tcW w:w="2991" w:type="dxa"/>
            <w:vMerge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91" w:type="dxa"/>
            <w:vMerge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</w:p>
        </w:tc>
      </w:tr>
      <w:tr w:rsidR="00DF7E9A" w:rsidTr="00CE445B">
        <w:trPr>
          <w:jc w:val="center"/>
        </w:trPr>
        <w:tc>
          <w:tcPr>
            <w:tcW w:w="2991" w:type="dxa"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27</w:t>
            </w:r>
            <w:r>
              <w:rPr>
                <w:rFonts w:hint="eastAsia"/>
                <w:sz w:val="28"/>
                <w:szCs w:val="28"/>
              </w:rPr>
              <w:t>日下午</w:t>
            </w:r>
          </w:p>
        </w:tc>
        <w:tc>
          <w:tcPr>
            <w:tcW w:w="2991" w:type="dxa"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内控信息化</w:t>
            </w:r>
          </w:p>
        </w:tc>
        <w:tc>
          <w:tcPr>
            <w:tcW w:w="2991" w:type="dxa"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杨晓光</w:t>
            </w:r>
          </w:p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山东财经大学会计学院副教授</w:t>
            </w:r>
          </w:p>
        </w:tc>
      </w:tr>
      <w:tr w:rsidR="00DF7E9A" w:rsidTr="00CE445B">
        <w:trPr>
          <w:jc w:val="center"/>
        </w:trPr>
        <w:tc>
          <w:tcPr>
            <w:tcW w:w="2991" w:type="dxa"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28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991" w:type="dxa"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收入、支出业务控制</w:t>
            </w:r>
          </w:p>
        </w:tc>
        <w:tc>
          <w:tcPr>
            <w:tcW w:w="2991" w:type="dxa"/>
          </w:tcPr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韩跃</w:t>
            </w:r>
          </w:p>
          <w:p w:rsidR="00DF7E9A" w:rsidRDefault="00DF7E9A" w:rsidP="00CE445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山东财经大学会计学院副教授</w:t>
            </w:r>
          </w:p>
        </w:tc>
      </w:tr>
    </w:tbl>
    <w:p w:rsidR="00DF7E9A" w:rsidRDefault="00DF7E9A" w:rsidP="00DF7E9A">
      <w:pPr>
        <w:rPr>
          <w:sz w:val="28"/>
          <w:szCs w:val="28"/>
        </w:rPr>
        <w:sectPr w:rsidR="00DF7E9A">
          <w:pgSz w:w="11906" w:h="16838"/>
          <w:pgMar w:top="1440" w:right="1349" w:bottom="1440" w:left="1800" w:header="851" w:footer="992" w:gutter="0"/>
          <w:cols w:space="720"/>
          <w:docGrid w:type="lines" w:linePitch="312"/>
        </w:sectPr>
      </w:pPr>
    </w:p>
    <w:p w:rsidR="00DF7E9A" w:rsidRDefault="00DF7E9A" w:rsidP="00DF7E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4</w:t>
      </w:r>
    </w:p>
    <w:p w:rsidR="00DF7E9A" w:rsidRDefault="00DF7E9A" w:rsidP="00DF7E9A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交通示意图</w:t>
      </w:r>
    </w:p>
    <w:p w:rsidR="00DF7E9A" w:rsidRDefault="00DF7E9A" w:rsidP="00DF7E9A">
      <w:pPr>
        <w:jc w:val="center"/>
        <w:rPr>
          <w:sz w:val="28"/>
          <w:szCs w:val="28"/>
        </w:rPr>
      </w:pPr>
    </w:p>
    <w:p w:rsidR="00DF7E9A" w:rsidRDefault="00DF7E9A" w:rsidP="00DF7E9A">
      <w:pPr>
        <w:jc w:val="center"/>
        <w:rPr>
          <w:sz w:val="28"/>
          <w:szCs w:val="28"/>
        </w:rPr>
      </w:pPr>
    </w:p>
    <w:p w:rsidR="00DF7E9A" w:rsidRDefault="00DF7E9A" w:rsidP="00DF7E9A">
      <w:pPr>
        <w:jc w:val="center"/>
        <w:rPr>
          <w:sz w:val="28"/>
          <w:szCs w:val="28"/>
        </w:rPr>
      </w:pPr>
    </w:p>
    <w:p w:rsidR="00DF7E9A" w:rsidRDefault="00DF7E9A" w:rsidP="00DF7E9A">
      <w:pPr>
        <w:jc w:val="left"/>
        <w:rPr>
          <w:rFonts w:ascii="仿宋_GB2312" w:eastAsia="仿宋_GB2312" w:hAnsi="宋体"/>
          <w:sz w:val="30"/>
          <w:szCs w:val="30"/>
        </w:rPr>
      </w:pPr>
      <w:r>
        <w:rPr>
          <w:rFonts w:hint="eastAsia"/>
          <w:noProof/>
        </w:rPr>
        <w:drawing>
          <wp:inline distT="0" distB="0" distL="114300" distR="114300">
            <wp:extent cx="5465445" cy="2781935"/>
            <wp:effectExtent l="0" t="0" r="1905" b="18415"/>
            <wp:docPr id="3" name="图片 3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地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5445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hint="eastAsia"/>
          <w:sz w:val="30"/>
          <w:szCs w:val="30"/>
        </w:rPr>
        <w:t>备注：因宾馆停车位有限，建议学员公交出行</w:t>
      </w:r>
    </w:p>
    <w:p w:rsidR="00820A16" w:rsidRPr="00DF7E9A" w:rsidRDefault="00820A16"/>
    <w:sectPr w:rsidR="00820A16" w:rsidRPr="00DF7E9A" w:rsidSect="00656608">
      <w:pgSz w:w="11906" w:h="16838"/>
      <w:pgMar w:top="1440" w:right="1349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A16" w:rsidRDefault="00820A16" w:rsidP="00DF7E9A">
      <w:r>
        <w:separator/>
      </w:r>
    </w:p>
  </w:endnote>
  <w:endnote w:type="continuationSeparator" w:id="1">
    <w:p w:rsidR="00820A16" w:rsidRDefault="00820A16" w:rsidP="00DF7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9A" w:rsidRDefault="00DF7E9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DF7E9A" w:rsidRDefault="00DF7E9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A16" w:rsidRDefault="00820A16" w:rsidP="00DF7E9A">
      <w:r>
        <w:separator/>
      </w:r>
    </w:p>
  </w:footnote>
  <w:footnote w:type="continuationSeparator" w:id="1">
    <w:p w:rsidR="00820A16" w:rsidRDefault="00820A16" w:rsidP="00DF7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980F"/>
    <w:multiLevelType w:val="singleLevel"/>
    <w:tmpl w:val="56E0980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6E09AC8"/>
    <w:multiLevelType w:val="singleLevel"/>
    <w:tmpl w:val="56E09AC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6E09B92"/>
    <w:multiLevelType w:val="singleLevel"/>
    <w:tmpl w:val="56E09B9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6E0A2AE"/>
    <w:multiLevelType w:val="singleLevel"/>
    <w:tmpl w:val="56E0A2A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6E0A423"/>
    <w:multiLevelType w:val="singleLevel"/>
    <w:tmpl w:val="56E0A42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6E0A4F0"/>
    <w:multiLevelType w:val="singleLevel"/>
    <w:tmpl w:val="56E0A4F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E9A"/>
    <w:rsid w:val="00820A16"/>
    <w:rsid w:val="00D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E9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F7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E9A"/>
    <w:rPr>
      <w:sz w:val="18"/>
      <w:szCs w:val="18"/>
    </w:rPr>
  </w:style>
  <w:style w:type="table" w:styleId="a5">
    <w:name w:val="Table Grid"/>
    <w:basedOn w:val="a1"/>
    <w:qFormat/>
    <w:rsid w:val="00DF7E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DF7E9A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DF7E9A"/>
    <w:rPr>
      <w:rFonts w:ascii="宋体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F7E9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7E9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2016-10-19T09:08:00Z</dcterms:created>
  <dcterms:modified xsi:type="dcterms:W3CDTF">2016-10-19T09:08:00Z</dcterms:modified>
</cp:coreProperties>
</file>