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关于举办行政事业单位内控实施</w:t>
      </w:r>
    </w:p>
    <w:p>
      <w:pPr>
        <w:jc w:val="center"/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实务操作培训班的通知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lang w:val="en-US" w:eastAsia="zh-CN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 xml:space="preserve">各有关单位：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为贯彻落实财政部和省财政厅关于开展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内控基础性评价、以评促建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要求，帮助各单位建立起符合内控规范和单位实际的内控体系，我校定于9月上旬举办行政事业单位内控实施实务操作培训班，邀请我校具有丰富实施经验的专家培训、辅导，具体事项如下：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培训对象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各单位与内控实施有关人员、咨询师、培训师、内控软件研发培训人员。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培训内容及师资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56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培训内容详见附件2；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56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培训师资：山东财经大学专家、教授。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培训时间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56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9月8－12日，8日报到，9－11日上课，12返程。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培训地点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56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山东财经大学济南舜耕校区（报到事宜将发送手机短信通知）。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培训费每人900元，报到时交纳；食宿统一安排，费用由宾馆收取，收费不超过国家规定标准，</w:t>
      </w:r>
      <w:r>
        <w:rPr>
          <w:rFonts w:hint="eastAsia" w:ascii="仿宋" w:hAnsi="仿宋" w:eastAsia="仿宋" w:cs="仿宋"/>
          <w:sz w:val="30"/>
          <w:lang w:val="en-US" w:eastAsia="zh-CN"/>
        </w:rPr>
        <w:t xml:space="preserve">交通及住宿费用由学员所在单位承担。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lang w:val="en-US" w:eastAsia="zh-CN"/>
        </w:rPr>
        <w:t xml:space="preserve">报名方式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lang w:val="en-US" w:eastAsia="zh-CN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>传真、电话报名：0531－82911999；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lang w:val="en-US" w:eastAsia="zh-CN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>电子邮件报名：</w:t>
      </w:r>
      <w:r>
        <w:rPr>
          <w:rFonts w:hint="eastAsia" w:ascii="仿宋" w:hAnsi="仿宋" w:eastAsia="仿宋" w:cs="仿宋"/>
          <w:color w:val="auto"/>
          <w:sz w:val="30"/>
          <w:lang w:val="en-US" w:eastAsia="zh-CN"/>
        </w:rPr>
        <w:t>发送邮件到 scdpeixun@126.com</w:t>
      </w:r>
      <w:r>
        <w:rPr>
          <w:rFonts w:hint="eastAsia" w:ascii="仿宋" w:hAnsi="仿宋" w:eastAsia="仿宋" w:cs="仿宋"/>
          <w:sz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>网络报名：登录</w:t>
      </w:r>
      <w:r>
        <w:rPr>
          <w:rFonts w:hint="eastAsia" w:ascii="仿宋" w:hAnsi="仿宋" w:eastAsia="仿宋" w:cs="仿宋"/>
          <w:color w:val="auto"/>
          <w:sz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0"/>
          <w:lang w:val="en-US" w:eastAsia="zh-CN"/>
        </w:rPr>
        <w:instrText xml:space="preserve"> HYPERLINK "baoming.1k100.com" </w:instrText>
      </w:r>
      <w:r>
        <w:rPr>
          <w:rFonts w:hint="eastAsia" w:ascii="仿宋" w:hAnsi="仿宋" w:eastAsia="仿宋" w:cs="仿宋"/>
          <w:color w:val="auto"/>
          <w:sz w:val="30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0"/>
          <w:lang w:val="en-US" w:eastAsia="zh-CN"/>
        </w:rPr>
        <w:t>山财培训网（baoming.1k100.com）</w:t>
      </w:r>
      <w:r>
        <w:rPr>
          <w:rFonts w:hint="eastAsia" w:ascii="仿宋" w:hAnsi="仿宋" w:eastAsia="仿宋" w:cs="仿宋"/>
          <w:color w:val="auto"/>
          <w:sz w:val="30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lang w:val="en-US" w:eastAsia="zh-CN"/>
        </w:rPr>
        <w:t>或</w:t>
      </w:r>
      <w:r>
        <w:rPr>
          <w:rFonts w:hint="eastAsia" w:ascii="仿宋" w:hAnsi="仿宋" w:eastAsia="仿宋" w:cs="仿宋"/>
          <w:sz w:val="30"/>
          <w:lang w:val="en-US" w:eastAsia="zh-CN"/>
        </w:rPr>
        <w:t>山东财经大学继续教育学院网站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http://sce.sdufe.edu.cn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</w:t>
      </w:r>
      <w:r>
        <w:rPr>
          <w:rFonts w:hint="eastAsia" w:ascii="仿宋" w:hAnsi="仿宋" w:eastAsia="仿宋" w:cs="仿宋"/>
          <w:sz w:val="30"/>
          <w:lang w:val="en-US" w:eastAsia="zh-CN"/>
        </w:rPr>
        <w:t xml:space="preserve">报名。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lang w:val="en-US" w:eastAsia="zh-CN"/>
        </w:rPr>
        <w:t>七、有关要求</w:t>
      </w:r>
      <w:r>
        <w:rPr>
          <w:rFonts w:hint="eastAsia" w:ascii="仿宋" w:hAnsi="仿宋" w:eastAsia="仿宋" w:cs="仿宋"/>
          <w:b/>
          <w:bCs/>
          <w:sz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 xml:space="preserve">请参训人员按时报到，因故不能参加或参训人员有调整的，请于开班前一周告知我们，并按短信通知及时回复有关信息。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联系人：邵</w:t>
      </w:r>
      <w:r>
        <w:rPr>
          <w:rFonts w:hint="eastAsia" w:ascii="仿宋" w:hAnsi="仿宋" w:eastAsia="仿宋" w:cs="仿宋"/>
          <w:sz w:val="30"/>
          <w:lang w:eastAsia="zh-CN"/>
        </w:rPr>
        <w:t>老师</w:t>
      </w:r>
      <w:r>
        <w:rPr>
          <w:rFonts w:hint="eastAsia" w:ascii="仿宋" w:hAnsi="仿宋" w:eastAsia="仿宋" w:cs="仿宋"/>
          <w:sz w:val="30"/>
        </w:rPr>
        <w:t xml:space="preserve">  </w:t>
      </w:r>
      <w:r>
        <w:rPr>
          <w:rFonts w:hint="eastAsia" w:ascii="仿宋" w:hAnsi="仿宋" w:eastAsia="仿宋" w:cs="仿宋"/>
          <w:sz w:val="30"/>
          <w:lang w:eastAsia="zh-CN"/>
        </w:rPr>
        <w:t>联系</w:t>
      </w:r>
      <w:r>
        <w:rPr>
          <w:rFonts w:hint="eastAsia" w:ascii="仿宋" w:hAnsi="仿宋" w:eastAsia="仿宋" w:cs="仿宋"/>
          <w:sz w:val="30"/>
        </w:rPr>
        <w:t>电话：0531-82911999 15605317366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电子邮箱：scdpeixun@126.com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QQ号：2761136641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lang w:val="en-US" w:eastAsia="zh-CN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>附件：1.报名回执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lang w:val="en-US" w:eastAsia="zh-CN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 xml:space="preserve">      2.课程安排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2016年8月22日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br w:type="page"/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报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名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回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执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3"/>
        <w:gridCol w:w="575"/>
        <w:gridCol w:w="2812"/>
        <w:gridCol w:w="1188"/>
        <w:gridCol w:w="140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所在单位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务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atLeast"/>
        </w:trPr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atLeast"/>
        </w:trPr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atLeast"/>
        </w:trPr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atLeast"/>
        </w:trPr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atLeast"/>
        </w:trPr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atLeast"/>
        </w:trPr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7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培  训  内  容</w:t>
      </w:r>
    </w:p>
    <w:p>
      <w:pPr>
        <w:autoSpaceDN w:val="0"/>
        <w:spacing w:line="60" w:lineRule="auto"/>
        <w:rPr>
          <w:rFonts w:ascii="仿宋_GB2312" w:hAnsi="宋体" w:eastAsia="仿宋_GB2312"/>
          <w:b/>
          <w:sz w:val="32"/>
          <w:szCs w:val="32"/>
        </w:rPr>
      </w:pPr>
    </w:p>
    <w:p>
      <w:pPr>
        <w:numPr>
          <w:ilvl w:val="0"/>
          <w:numId w:val="2"/>
        </w:numPr>
        <w:autoSpaceDN w:val="0"/>
        <w:spacing w:line="60" w:lineRule="auto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行政事业单位内控建设内容、思路和方法</w:t>
      </w:r>
    </w:p>
    <w:p>
      <w:pPr>
        <w:autoSpaceDN w:val="0"/>
        <w:spacing w:line="60" w:lineRule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1、行政事业单位内部控制概述</w:t>
      </w:r>
    </w:p>
    <w:p>
      <w:pPr>
        <w:autoSpaceDN w:val="0"/>
        <w:spacing w:line="60" w:lineRule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2、行政事业单位内部控制体系建设基本思路和前期准备工作</w:t>
      </w:r>
    </w:p>
    <w:p>
      <w:pPr>
        <w:tabs>
          <w:tab w:val="left" w:pos="420"/>
        </w:tabs>
        <w:autoSpaceDN w:val="0"/>
        <w:spacing w:line="60" w:lineRule="auto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3、Visio流程图绘制软件的使用（这是基本工具，建议先讲）</w:t>
      </w:r>
    </w:p>
    <w:p>
      <w:pPr>
        <w:autoSpaceDN w:val="0"/>
        <w:spacing w:line="60" w:lineRule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4、《内控手册》的结构与内容</w:t>
      </w:r>
    </w:p>
    <w:p>
      <w:pPr>
        <w:autoSpaceDN w:val="0"/>
        <w:spacing w:line="60" w:lineRule="auto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5、《制度汇编》涉及的主要制度介绍</w:t>
      </w:r>
    </w:p>
    <w:p>
      <w:pPr>
        <w:numPr>
          <w:ilvl w:val="0"/>
          <w:numId w:val="2"/>
        </w:numPr>
        <w:autoSpaceDN w:val="0"/>
        <w:spacing w:line="60" w:lineRule="auto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单位层面内部控制设计</w:t>
      </w:r>
    </w:p>
    <w:p>
      <w:pPr>
        <w:autoSpaceDN w:val="0"/>
        <w:spacing w:line="60" w:lineRule="auto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1.组织架构设计：决策权、执行权和监督权的分配</w:t>
      </w:r>
    </w:p>
    <w:p>
      <w:pPr>
        <w:autoSpaceDN w:val="0"/>
        <w:spacing w:line="60" w:lineRule="auto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2.重要制度：关键岗位责任制、专家论证制度、审核审批制度、集体决策制度、内部审计制度绩效考评制度、党委纪检和监察制度</w:t>
      </w:r>
    </w:p>
    <w:p>
      <w:pPr>
        <w:autoSpaceDN w:val="0"/>
        <w:spacing w:line="60" w:lineRule="auto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 xml:space="preserve">3.控制方式设计：不相容岗位分离、内部授权审批制度、归口管理、预算控制、资产保护控制、会计控制、单据控制、信息公开、信息技术控制 </w:t>
      </w:r>
      <w:bookmarkStart w:id="0" w:name="_GoBack"/>
      <w:bookmarkEnd w:id="0"/>
    </w:p>
    <w:p>
      <w:pPr>
        <w:numPr>
          <w:ilvl w:val="0"/>
          <w:numId w:val="2"/>
        </w:numPr>
        <w:autoSpaceDN w:val="0"/>
        <w:spacing w:line="60" w:lineRule="auto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预算管理流程</w:t>
      </w:r>
    </w:p>
    <w:p>
      <w:pPr>
        <w:numPr>
          <w:ilvl w:val="0"/>
          <w:numId w:val="3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预算管理流程的具体内容详解，包</w:t>
      </w:r>
      <w:r>
        <w:rPr>
          <w:rFonts w:hint="eastAsia" w:ascii="仿宋_GB2312" w:hAnsi="宋体" w:eastAsia="仿宋_GB2312"/>
          <w:sz w:val="30"/>
          <w:szCs w:val="30"/>
        </w:rPr>
        <w:t>含一上预算编制与批复子流程、二上预算编制与批复子流程、预算追加调整子流程、政府采购预算编制与批复子流程、预算执行申请子流程、决算与绩效考评子流程等6个子流程</w:t>
      </w:r>
    </w:p>
    <w:p>
      <w:pPr>
        <w:numPr>
          <w:ilvl w:val="0"/>
          <w:numId w:val="3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预算管理流程的控制目标</w:t>
      </w:r>
    </w:p>
    <w:p>
      <w:pPr>
        <w:numPr>
          <w:ilvl w:val="0"/>
          <w:numId w:val="3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预算管理流程的设计部门及岗位</w:t>
      </w:r>
    </w:p>
    <w:p>
      <w:pPr>
        <w:numPr>
          <w:ilvl w:val="0"/>
          <w:numId w:val="3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预算管理流程的流程图</w:t>
      </w:r>
    </w:p>
    <w:p>
      <w:pPr>
        <w:numPr>
          <w:ilvl w:val="0"/>
          <w:numId w:val="3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预算管理流程的关键流程节点说明</w:t>
      </w:r>
    </w:p>
    <w:p>
      <w:pPr>
        <w:numPr>
          <w:ilvl w:val="0"/>
          <w:numId w:val="3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预算管理流程的风险矩阵</w:t>
      </w:r>
    </w:p>
    <w:p>
      <w:pPr>
        <w:numPr>
          <w:ilvl w:val="0"/>
          <w:numId w:val="4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政府采购管理流程</w:t>
      </w:r>
    </w:p>
    <w:p>
      <w:pPr>
        <w:numPr>
          <w:ilvl w:val="0"/>
          <w:numId w:val="5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政府采购管理流程的具体内容解读，包括集中采购子流程、分散采购子流程2个子流程</w:t>
      </w:r>
    </w:p>
    <w:p>
      <w:pPr>
        <w:numPr>
          <w:ilvl w:val="0"/>
          <w:numId w:val="5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政府采购管理流程的控制目标、涉及部门岗位、流程图、关键流程节点说明、风险矩阵</w:t>
      </w:r>
    </w:p>
    <w:p>
      <w:pPr>
        <w:numPr>
          <w:ilvl w:val="0"/>
          <w:numId w:val="6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固定资产管理流程</w:t>
      </w:r>
    </w:p>
    <w:p>
      <w:pPr>
        <w:numPr>
          <w:ilvl w:val="0"/>
          <w:numId w:val="7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固定资产管理流程解读，包含固定资产购置子流程、固定资产验收子流程、固定资产领用子流程、固定资产清查子流程、固定资产处置子流程等5个子流程</w:t>
      </w:r>
    </w:p>
    <w:p>
      <w:pPr>
        <w:numPr>
          <w:ilvl w:val="0"/>
          <w:numId w:val="7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固定资产管理流程的控制目标、涉及部门岗位、流程图、关键流程节点说明、风险矩阵说明</w:t>
      </w:r>
    </w:p>
    <w:p>
      <w:pPr>
        <w:numPr>
          <w:ilvl w:val="0"/>
          <w:numId w:val="8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收支管理流程</w:t>
      </w:r>
    </w:p>
    <w:p>
      <w:p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收支管理流程具体内容解读：包含财政拨款流程、经费支出审批总流程、资产日常维修审批子流程、印刷费支出审批子流程、日常办公用品审批子流程、差旅费子流程、公务接待审批子流程、会议费审批子流程、出国（境）经费审批子流程、专项资金管理流程等10个子流程</w:t>
      </w:r>
    </w:p>
    <w:p>
      <w:p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2、收支管理流程的控制目标、涉及部门岗位、流程图、关键流程节点说明、风险矩阵说明</w:t>
      </w:r>
    </w:p>
    <w:p>
      <w:pPr>
        <w:numPr>
          <w:ilvl w:val="0"/>
          <w:numId w:val="8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合同管理流程</w:t>
      </w:r>
    </w:p>
    <w:p>
      <w:pPr>
        <w:numPr>
          <w:ilvl w:val="0"/>
          <w:numId w:val="9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合同管理流程的具体内容解读</w:t>
      </w:r>
    </w:p>
    <w:p>
      <w:pPr>
        <w:numPr>
          <w:ilvl w:val="0"/>
          <w:numId w:val="9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合同管理流程的控制目标、涉及部门岗位、流程图、关键流程节点说明、风险矩阵说明</w:t>
      </w:r>
    </w:p>
    <w:p>
      <w:pPr>
        <w:numPr>
          <w:ilvl w:val="0"/>
          <w:numId w:val="10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项目管理流程</w:t>
      </w:r>
    </w:p>
    <w:p>
      <w:pPr>
        <w:numPr>
          <w:ilvl w:val="0"/>
          <w:numId w:val="11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项目管理流程内容解读，包含投资立项目建议书子流程、可行性研究子流程、初步设计与概算子流程、招标管理子流程、施工管理子流程、签证管理子流程、竣工验收子流程、财务决算子流程等8个子流程</w:t>
      </w:r>
    </w:p>
    <w:p>
      <w:pPr>
        <w:numPr>
          <w:ilvl w:val="0"/>
          <w:numId w:val="11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项目管理流程的控制目标、涉及部门岗位、流程图、关键流程节点说明、风险矩阵说明</w:t>
      </w:r>
    </w:p>
    <w:p>
      <w:pPr>
        <w:numPr>
          <w:ilvl w:val="0"/>
          <w:numId w:val="12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内部控制评价</w:t>
      </w:r>
    </w:p>
    <w:p>
      <w:p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1.内部控制评价工作流程</w:t>
      </w:r>
    </w:p>
    <w:p>
      <w:p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2.内部控制穿行测试程序与方法</w:t>
      </w:r>
    </w:p>
    <w:p>
      <w:p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3.内部控制控制测试程序与方法</w:t>
      </w:r>
    </w:p>
    <w:p>
      <w:p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4内部控制评价报告的编写</w:t>
      </w:r>
    </w:p>
    <w:p>
      <w:pPr>
        <w:numPr>
          <w:ilvl w:val="0"/>
          <w:numId w:val="12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行政事业单位内部控制信息化</w:t>
      </w:r>
    </w:p>
    <w:p>
      <w:p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1.内部控制信息化的必要</w:t>
      </w:r>
    </w:p>
    <w:p>
      <w:p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2.内控信息化的主要内容</w:t>
      </w:r>
    </w:p>
    <w:p>
      <w:p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3.内部控制信息化的实施步骤</w:t>
      </w:r>
    </w:p>
    <w:p>
      <w:pPr>
        <w:numPr>
          <w:ilvl w:val="0"/>
          <w:numId w:val="12"/>
        </w:numPr>
        <w:autoSpaceDN w:val="0"/>
        <w:spacing w:line="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行政事业单位内控先进单位介绍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0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980F"/>
    <w:multiLevelType w:val="singleLevel"/>
    <w:tmpl w:val="56E0980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6E09954"/>
    <w:multiLevelType w:val="singleLevel"/>
    <w:tmpl w:val="56E0995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6E09AC8"/>
    <w:multiLevelType w:val="singleLevel"/>
    <w:tmpl w:val="56E09AC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56E09B0F"/>
    <w:multiLevelType w:val="singleLevel"/>
    <w:tmpl w:val="56E09B0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6E09B92"/>
    <w:multiLevelType w:val="singleLevel"/>
    <w:tmpl w:val="56E09B9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5">
    <w:nsid w:val="56E09BC4"/>
    <w:multiLevelType w:val="singleLevel"/>
    <w:tmpl w:val="56E09BC4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6E0A2AE"/>
    <w:multiLevelType w:val="singleLevel"/>
    <w:tmpl w:val="56E0A2A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7">
    <w:nsid w:val="56E0A376"/>
    <w:multiLevelType w:val="singleLevel"/>
    <w:tmpl w:val="56E0A376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6E0A423"/>
    <w:multiLevelType w:val="singleLevel"/>
    <w:tmpl w:val="56E0A42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9">
    <w:nsid w:val="56E0A456"/>
    <w:multiLevelType w:val="singleLevel"/>
    <w:tmpl w:val="56E0A456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6E0A4F0"/>
    <w:multiLevelType w:val="singleLevel"/>
    <w:tmpl w:val="56E0A4F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57BA73A2"/>
    <w:multiLevelType w:val="singleLevel"/>
    <w:tmpl w:val="57BA73A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10739"/>
    <w:rsid w:val="0B1D2976"/>
    <w:rsid w:val="0D7B23F3"/>
    <w:rsid w:val="13247B28"/>
    <w:rsid w:val="1FC51693"/>
    <w:rsid w:val="28910739"/>
    <w:rsid w:val="441106D1"/>
    <w:rsid w:val="46E739FE"/>
    <w:rsid w:val="4A936551"/>
    <w:rsid w:val="5677238B"/>
    <w:rsid w:val="611939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2016-08-22T03:27:00Z</dcterms:created>
  <dc:creator>lenovo</dc:creator>
  <cp:lastModifiedBy>lenovo</cp:lastModifiedBy>
  <dcterms:modified xsi:type="dcterms:W3CDTF">2016-08-22T06:14:22Z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